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DB85C" w14:textId="77777777" w:rsidR="004E329F" w:rsidRPr="004E329F" w:rsidRDefault="004E329F" w:rsidP="004E329F">
      <w:pPr>
        <w:keepNext/>
        <w:keepLines/>
        <w:autoSpaceDE w:val="0"/>
        <w:autoSpaceDN w:val="0"/>
        <w:adjustRightInd w:val="0"/>
        <w:spacing w:after="0" w:line="240" w:lineRule="auto"/>
        <w:ind w:right="425"/>
        <w:outlineLvl w:val="0"/>
        <w:rPr>
          <w:rFonts w:ascii="Times New Roman" w:eastAsia="Times New Roman" w:hAnsi="Times New Roman"/>
          <w:b/>
          <w:sz w:val="24"/>
          <w:szCs w:val="24"/>
          <w:lang w:eastAsia="it-IT"/>
        </w:rPr>
      </w:pPr>
    </w:p>
    <w:p w14:paraId="74766681" w14:textId="77777777" w:rsidR="004E329F" w:rsidRPr="004E329F" w:rsidRDefault="004E329F" w:rsidP="004E329F">
      <w:pPr>
        <w:keepNext/>
        <w:keepLines/>
        <w:autoSpaceDE w:val="0"/>
        <w:autoSpaceDN w:val="0"/>
        <w:adjustRightInd w:val="0"/>
        <w:spacing w:after="0" w:line="240" w:lineRule="auto"/>
        <w:ind w:right="425"/>
        <w:jc w:val="center"/>
        <w:outlineLvl w:val="0"/>
        <w:rPr>
          <w:rFonts w:ascii="Times New Roman" w:eastAsia="Times New Roman" w:hAnsi="Times New Roman"/>
          <w:b/>
          <w:sz w:val="24"/>
          <w:szCs w:val="24"/>
          <w:lang w:eastAsia="it-IT"/>
        </w:rPr>
      </w:pPr>
      <w:r w:rsidRPr="004E329F">
        <w:rPr>
          <w:rFonts w:ascii="Times New Roman" w:eastAsia="Times New Roman" w:hAnsi="Times New Roman"/>
          <w:b/>
          <w:sz w:val="24"/>
          <w:szCs w:val="24"/>
          <w:lang w:eastAsia="it-IT"/>
        </w:rPr>
        <w:t>Comune di Guidonia Montecelio</w:t>
      </w:r>
    </w:p>
    <w:p w14:paraId="7D474ED5" w14:textId="77777777" w:rsidR="004E329F" w:rsidRPr="004E329F" w:rsidRDefault="004E329F" w:rsidP="004E329F">
      <w:pPr>
        <w:keepNext/>
        <w:keepLines/>
        <w:autoSpaceDE w:val="0"/>
        <w:autoSpaceDN w:val="0"/>
        <w:adjustRightInd w:val="0"/>
        <w:spacing w:after="0" w:line="240" w:lineRule="auto"/>
        <w:ind w:right="425"/>
        <w:jc w:val="center"/>
        <w:outlineLvl w:val="0"/>
        <w:rPr>
          <w:rFonts w:ascii="Times New Roman" w:eastAsia="Times New Roman" w:hAnsi="Times New Roman"/>
          <w:b/>
          <w:sz w:val="24"/>
          <w:szCs w:val="24"/>
          <w:lang w:eastAsia="it-IT"/>
        </w:rPr>
      </w:pPr>
      <w:r w:rsidRPr="004E329F">
        <w:rPr>
          <w:rFonts w:ascii="Times New Roman" w:eastAsia="Times New Roman" w:hAnsi="Times New Roman"/>
          <w:b/>
          <w:sz w:val="24"/>
          <w:szCs w:val="24"/>
          <w:lang w:eastAsia="it-IT"/>
        </w:rPr>
        <w:t xml:space="preserve">Oneri per le attività di accertamento ed </w:t>
      </w:r>
      <w:r w:rsidRPr="00337A3D">
        <w:rPr>
          <w:rFonts w:ascii="Times New Roman" w:eastAsia="Times New Roman" w:hAnsi="Times New Roman"/>
          <w:b/>
          <w:color w:val="FF0000"/>
          <w:sz w:val="28"/>
          <w:szCs w:val="28"/>
          <w:u w:val="single"/>
          <w:lang w:eastAsia="it-IT"/>
        </w:rPr>
        <w:t>ispezione degli impianti termici</w:t>
      </w:r>
    </w:p>
    <w:p w14:paraId="33A837D7" w14:textId="77777777" w:rsidR="004E329F" w:rsidRPr="004E329F" w:rsidRDefault="004E329F" w:rsidP="004E329F">
      <w:pPr>
        <w:keepNext/>
        <w:keepLines/>
        <w:autoSpaceDE w:val="0"/>
        <w:autoSpaceDN w:val="0"/>
        <w:adjustRightInd w:val="0"/>
        <w:spacing w:after="0" w:line="240" w:lineRule="auto"/>
        <w:ind w:right="425"/>
        <w:jc w:val="center"/>
        <w:outlineLvl w:val="0"/>
        <w:rPr>
          <w:rFonts w:ascii="Times New Roman" w:eastAsia="Times New Roman" w:hAnsi="Times New Roman"/>
          <w:b/>
          <w:sz w:val="24"/>
          <w:szCs w:val="24"/>
          <w:lang w:eastAsia="it-IT"/>
        </w:rPr>
      </w:pPr>
      <w:r w:rsidRPr="004E329F">
        <w:rPr>
          <w:rFonts w:ascii="Times New Roman" w:eastAsia="Times New Roman" w:hAnsi="Times New Roman"/>
          <w:b/>
          <w:sz w:val="24"/>
          <w:szCs w:val="24"/>
          <w:lang w:eastAsia="it-IT"/>
        </w:rPr>
        <w:t>(di cui all’Allegato 12 del Regolamento Regionale n. 30/2020)</w:t>
      </w:r>
    </w:p>
    <w:p w14:paraId="577313B0" w14:textId="77777777" w:rsidR="004E329F" w:rsidRPr="004E329F" w:rsidRDefault="004E329F" w:rsidP="004E329F">
      <w:pPr>
        <w:autoSpaceDE w:val="0"/>
        <w:autoSpaceDN w:val="0"/>
        <w:adjustRightInd w:val="0"/>
        <w:spacing w:after="0" w:line="240" w:lineRule="auto"/>
        <w:jc w:val="center"/>
        <w:rPr>
          <w:rFonts w:ascii="Times New Roman" w:eastAsia="Times New Roman" w:hAnsi="Times New Roman"/>
          <w:sz w:val="10"/>
          <w:szCs w:val="24"/>
          <w:lang w:eastAsia="it-IT"/>
        </w:rPr>
      </w:pPr>
    </w:p>
    <w:p w14:paraId="74C725F2" w14:textId="77777777" w:rsidR="004E329F" w:rsidRPr="004E329F" w:rsidRDefault="004E329F" w:rsidP="004E329F">
      <w:pPr>
        <w:autoSpaceDE w:val="0"/>
        <w:autoSpaceDN w:val="0"/>
        <w:adjustRightInd w:val="0"/>
        <w:spacing w:after="0" w:line="240" w:lineRule="auto"/>
        <w:jc w:val="center"/>
        <w:rPr>
          <w:rFonts w:ascii="Times New Roman" w:eastAsia="Times New Roman" w:hAnsi="Times New Roman"/>
          <w:sz w:val="10"/>
          <w:szCs w:val="24"/>
          <w:lang w:eastAsia="it-IT"/>
        </w:rPr>
      </w:pPr>
    </w:p>
    <w:p w14:paraId="17079B0B" w14:textId="77777777" w:rsidR="004E329F" w:rsidRPr="004E329F" w:rsidRDefault="004E329F" w:rsidP="004E329F">
      <w:pPr>
        <w:autoSpaceDE w:val="0"/>
        <w:autoSpaceDN w:val="0"/>
        <w:adjustRightInd w:val="0"/>
        <w:spacing w:after="0" w:line="240" w:lineRule="auto"/>
        <w:jc w:val="center"/>
        <w:rPr>
          <w:rFonts w:ascii="Times New Roman" w:eastAsia="Times New Roman" w:hAnsi="Times New Roman"/>
          <w:b/>
          <w:sz w:val="24"/>
          <w:szCs w:val="24"/>
          <w:lang w:eastAsia="it-IT"/>
        </w:rPr>
      </w:pPr>
      <w:r w:rsidRPr="004E329F">
        <w:rPr>
          <w:rFonts w:ascii="Times New Roman" w:eastAsia="Times New Roman" w:hAnsi="Times New Roman"/>
          <w:b/>
          <w:sz w:val="24"/>
          <w:szCs w:val="24"/>
          <w:lang w:eastAsia="it-IT"/>
        </w:rPr>
        <w:t>TABELLA</w:t>
      </w:r>
    </w:p>
    <w:p w14:paraId="19D3BEA7" w14:textId="7F5B5C80" w:rsidR="004E329F" w:rsidRPr="004E329F" w:rsidRDefault="004E329F" w:rsidP="004E329F">
      <w:pPr>
        <w:autoSpaceDE w:val="0"/>
        <w:autoSpaceDN w:val="0"/>
        <w:adjustRightInd w:val="0"/>
        <w:spacing w:after="0" w:line="240" w:lineRule="auto"/>
        <w:jc w:val="both"/>
        <w:rPr>
          <w:rFonts w:ascii="Times New Roman" w:eastAsia="Times New Roman" w:hAnsi="Times New Roman"/>
          <w:sz w:val="12"/>
          <w:szCs w:val="24"/>
          <w:u w:val="single"/>
          <w:lang w:eastAsia="it-IT"/>
        </w:rPr>
      </w:pPr>
    </w:p>
    <w:tbl>
      <w:tblPr>
        <w:tblW w:w="9638" w:type="dxa"/>
        <w:jc w:val="center"/>
        <w:tblLayout w:type="fixed"/>
        <w:tblCellMar>
          <w:left w:w="70" w:type="dxa"/>
          <w:right w:w="70" w:type="dxa"/>
        </w:tblCellMar>
        <w:tblLook w:val="0000" w:firstRow="0" w:lastRow="0" w:firstColumn="0" w:lastColumn="0" w:noHBand="0" w:noVBand="0"/>
      </w:tblPr>
      <w:tblGrid>
        <w:gridCol w:w="555"/>
        <w:gridCol w:w="7237"/>
        <w:gridCol w:w="1846"/>
      </w:tblGrid>
      <w:tr w:rsidR="00EF403B" w:rsidRPr="004E329F" w14:paraId="324A5C98" w14:textId="77777777" w:rsidTr="00EF403B">
        <w:trPr>
          <w:jc w:val="center"/>
        </w:trPr>
        <w:tc>
          <w:tcPr>
            <w:tcW w:w="7792" w:type="dxa"/>
            <w:gridSpan w:val="2"/>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14:paraId="2D9567C5" w14:textId="6EF8A770" w:rsidR="00EF403B" w:rsidRPr="004E329F" w:rsidRDefault="00EF403B" w:rsidP="004E329F">
            <w:pPr>
              <w:autoSpaceDE w:val="0"/>
              <w:autoSpaceDN w:val="0"/>
              <w:adjustRightInd w:val="0"/>
              <w:spacing w:after="0" w:line="276" w:lineRule="auto"/>
              <w:ind w:left="142" w:right="424"/>
              <w:jc w:val="center"/>
              <w:rPr>
                <w:rFonts w:eastAsia="Times New Roman"/>
                <w:b/>
                <w:sz w:val="24"/>
                <w:szCs w:val="24"/>
                <w:lang w:eastAsia="it-IT"/>
              </w:rPr>
            </w:pPr>
            <w:r w:rsidRPr="004E329F">
              <w:rPr>
                <w:rFonts w:eastAsia="Times New Roman"/>
                <w:b/>
                <w:sz w:val="24"/>
                <w:szCs w:val="24"/>
                <w:lang w:eastAsia="it-IT"/>
              </w:rPr>
              <w:t>Tipologia di impianto</w:t>
            </w:r>
          </w:p>
        </w:tc>
        <w:tc>
          <w:tcPr>
            <w:tcW w:w="1846" w:type="dxa"/>
            <w:tcBorders>
              <w:top w:val="single" w:sz="4" w:space="0" w:color="000000"/>
              <w:left w:val="nil"/>
              <w:bottom w:val="single" w:sz="4" w:space="0" w:color="000000"/>
              <w:right w:val="single" w:sz="4" w:space="0" w:color="000000"/>
            </w:tcBorders>
            <w:vAlign w:val="center"/>
          </w:tcPr>
          <w:p w14:paraId="57BABF51" w14:textId="3BCA0E1F" w:rsidR="00EF403B" w:rsidRPr="004E329F" w:rsidRDefault="00EF403B" w:rsidP="004E329F">
            <w:pPr>
              <w:autoSpaceDE w:val="0"/>
              <w:autoSpaceDN w:val="0"/>
              <w:adjustRightInd w:val="0"/>
              <w:spacing w:after="0" w:line="276" w:lineRule="auto"/>
              <w:ind w:left="142" w:right="424"/>
              <w:jc w:val="center"/>
              <w:rPr>
                <w:rFonts w:eastAsia="Times New Roman"/>
                <w:b/>
                <w:sz w:val="24"/>
                <w:szCs w:val="24"/>
                <w:lang w:eastAsia="it-IT"/>
              </w:rPr>
            </w:pPr>
            <w:r w:rsidRPr="004E329F">
              <w:rPr>
                <w:rFonts w:eastAsia="Times New Roman"/>
                <w:b/>
                <w:szCs w:val="24"/>
                <w:lang w:eastAsia="it-IT"/>
              </w:rPr>
              <w:t>IMPORTO STABILITO</w:t>
            </w:r>
          </w:p>
        </w:tc>
      </w:tr>
      <w:tr w:rsidR="00EF403B" w:rsidRPr="004E329F" w14:paraId="74CF90B8" w14:textId="77777777" w:rsidTr="00EF403B">
        <w:trPr>
          <w:jc w:val="center"/>
        </w:trPr>
        <w:tc>
          <w:tcPr>
            <w:tcW w:w="555"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14:paraId="53CA3078" w14:textId="77777777" w:rsidR="00EF403B" w:rsidRPr="004E329F" w:rsidRDefault="00EF403B" w:rsidP="004E329F">
            <w:pPr>
              <w:tabs>
                <w:tab w:val="left" w:pos="356"/>
              </w:tabs>
              <w:autoSpaceDE w:val="0"/>
              <w:autoSpaceDN w:val="0"/>
              <w:adjustRightInd w:val="0"/>
              <w:spacing w:after="0" w:line="240" w:lineRule="auto"/>
              <w:ind w:left="72" w:right="153" w:hanging="70"/>
              <w:jc w:val="center"/>
              <w:rPr>
                <w:rFonts w:eastAsia="Times New Roman"/>
                <w:b/>
                <w:sz w:val="24"/>
                <w:szCs w:val="24"/>
                <w:lang w:eastAsia="it-IT"/>
              </w:rPr>
            </w:pPr>
            <w:r w:rsidRPr="004E329F">
              <w:rPr>
                <w:rFonts w:eastAsia="Times New Roman"/>
                <w:b/>
                <w:sz w:val="24"/>
                <w:szCs w:val="24"/>
                <w:lang w:eastAsia="it-IT"/>
              </w:rPr>
              <w:t>1</w:t>
            </w:r>
          </w:p>
        </w:tc>
        <w:tc>
          <w:tcPr>
            <w:tcW w:w="7237" w:type="dxa"/>
            <w:tcBorders>
              <w:top w:val="single" w:sz="4" w:space="0" w:color="auto"/>
              <w:left w:val="nil"/>
              <w:bottom w:val="single" w:sz="4" w:space="0" w:color="000000"/>
              <w:right w:val="single" w:sz="4" w:space="0" w:color="000000"/>
            </w:tcBorders>
            <w:tcMar>
              <w:top w:w="0" w:type="dxa"/>
              <w:left w:w="70" w:type="dxa"/>
              <w:bottom w:w="0" w:type="dxa"/>
              <w:right w:w="70" w:type="dxa"/>
            </w:tcMar>
            <w:vAlign w:val="center"/>
          </w:tcPr>
          <w:p w14:paraId="6B65A6D9" w14:textId="7FCF49E4" w:rsidR="00EF403B" w:rsidRPr="004E329F" w:rsidRDefault="00EF403B" w:rsidP="003E2F0A">
            <w:pPr>
              <w:autoSpaceDE w:val="0"/>
              <w:autoSpaceDN w:val="0"/>
              <w:adjustRightInd w:val="0"/>
              <w:spacing w:after="0" w:line="276" w:lineRule="auto"/>
              <w:ind w:left="142" w:right="140"/>
              <w:rPr>
                <w:rFonts w:eastAsia="Times New Roman"/>
                <w:i/>
                <w:sz w:val="18"/>
                <w:szCs w:val="24"/>
                <w:lang w:eastAsia="it-IT"/>
              </w:rPr>
            </w:pPr>
            <w:r w:rsidRPr="004E329F">
              <w:rPr>
                <w:rFonts w:eastAsia="Times New Roman"/>
                <w:sz w:val="24"/>
                <w:szCs w:val="24"/>
                <w:lang w:eastAsia="it-IT"/>
              </w:rPr>
              <w:t xml:space="preserve">Impianti dotati di generatore/i di calore a fiamma con potenza al focolare </w:t>
            </w:r>
            <w:proofErr w:type="gramStart"/>
            <w:r w:rsidRPr="004E329F">
              <w:rPr>
                <w:rFonts w:eastAsia="Times New Roman"/>
                <w:sz w:val="24"/>
                <w:szCs w:val="24"/>
                <w:lang w:eastAsia="it-IT"/>
              </w:rPr>
              <w:t>fino  a</w:t>
            </w:r>
            <w:proofErr w:type="gramEnd"/>
            <w:r w:rsidRPr="004E329F">
              <w:rPr>
                <w:rFonts w:eastAsia="Times New Roman"/>
                <w:sz w:val="24"/>
                <w:szCs w:val="24"/>
                <w:lang w:eastAsia="it-IT"/>
              </w:rPr>
              <w:t xml:space="preserve"> 35 kW</w:t>
            </w:r>
          </w:p>
        </w:tc>
        <w:tc>
          <w:tcPr>
            <w:tcW w:w="1846"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35BED3C9" w14:textId="2680AE12" w:rsidR="00EF403B" w:rsidRPr="004E329F" w:rsidRDefault="003E2F0A" w:rsidP="004E329F">
            <w:pPr>
              <w:autoSpaceDE w:val="0"/>
              <w:autoSpaceDN w:val="0"/>
              <w:adjustRightInd w:val="0"/>
              <w:spacing w:after="0" w:line="276" w:lineRule="auto"/>
              <w:ind w:left="142" w:right="140"/>
              <w:jc w:val="center"/>
              <w:rPr>
                <w:rFonts w:eastAsia="Times New Roman"/>
                <w:b/>
                <w:sz w:val="24"/>
                <w:szCs w:val="24"/>
                <w:lang w:eastAsia="it-IT"/>
              </w:rPr>
            </w:pPr>
            <w:r>
              <w:rPr>
                <w:rFonts w:eastAsia="Times New Roman"/>
                <w:b/>
                <w:sz w:val="24"/>
                <w:szCs w:val="24"/>
                <w:lang w:eastAsia="it-IT"/>
              </w:rPr>
              <w:t xml:space="preserve">€ </w:t>
            </w:r>
            <w:r w:rsidR="00EF403B" w:rsidRPr="004E329F">
              <w:rPr>
                <w:rFonts w:eastAsia="Times New Roman"/>
                <w:b/>
                <w:sz w:val="24"/>
                <w:szCs w:val="24"/>
                <w:lang w:eastAsia="it-IT"/>
              </w:rPr>
              <w:t>80,00</w:t>
            </w:r>
          </w:p>
        </w:tc>
      </w:tr>
      <w:tr w:rsidR="00EF403B" w:rsidRPr="004E329F" w14:paraId="04E8C589" w14:textId="77777777" w:rsidTr="00EF403B">
        <w:trPr>
          <w:jc w:val="center"/>
        </w:trPr>
        <w:tc>
          <w:tcPr>
            <w:tcW w:w="55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59EFE6B7" w14:textId="77777777" w:rsidR="00EF403B" w:rsidRPr="004E329F" w:rsidRDefault="00EF403B" w:rsidP="004E329F">
            <w:pPr>
              <w:tabs>
                <w:tab w:val="left" w:pos="356"/>
              </w:tabs>
              <w:autoSpaceDE w:val="0"/>
              <w:autoSpaceDN w:val="0"/>
              <w:adjustRightInd w:val="0"/>
              <w:spacing w:after="0" w:line="240" w:lineRule="auto"/>
              <w:ind w:left="72" w:right="153" w:hanging="70"/>
              <w:jc w:val="center"/>
              <w:rPr>
                <w:rFonts w:eastAsia="Times New Roman"/>
                <w:b/>
                <w:sz w:val="24"/>
                <w:szCs w:val="24"/>
                <w:lang w:eastAsia="it-IT"/>
              </w:rPr>
            </w:pPr>
            <w:r w:rsidRPr="004E329F">
              <w:rPr>
                <w:rFonts w:eastAsia="Times New Roman"/>
                <w:b/>
                <w:sz w:val="24"/>
                <w:szCs w:val="24"/>
                <w:lang w:eastAsia="it-IT"/>
              </w:rPr>
              <w:t>2</w:t>
            </w:r>
          </w:p>
        </w:tc>
        <w:tc>
          <w:tcPr>
            <w:tcW w:w="7237" w:type="dxa"/>
            <w:tcBorders>
              <w:top w:val="nil"/>
              <w:left w:val="nil"/>
              <w:bottom w:val="single" w:sz="4" w:space="0" w:color="000000"/>
              <w:right w:val="single" w:sz="4" w:space="0" w:color="000000"/>
            </w:tcBorders>
            <w:tcMar>
              <w:top w:w="0" w:type="dxa"/>
              <w:left w:w="70" w:type="dxa"/>
              <w:bottom w:w="0" w:type="dxa"/>
              <w:right w:w="70" w:type="dxa"/>
            </w:tcMar>
            <w:vAlign w:val="center"/>
          </w:tcPr>
          <w:p w14:paraId="55BD64C5" w14:textId="18F5970A" w:rsidR="00EF403B" w:rsidRPr="004E329F" w:rsidRDefault="00EF403B" w:rsidP="003E2F0A">
            <w:pPr>
              <w:autoSpaceDE w:val="0"/>
              <w:autoSpaceDN w:val="0"/>
              <w:adjustRightInd w:val="0"/>
              <w:spacing w:after="0" w:line="276" w:lineRule="auto"/>
              <w:ind w:left="142" w:right="140"/>
              <w:rPr>
                <w:rFonts w:eastAsia="Times New Roman"/>
                <w:i/>
                <w:sz w:val="18"/>
                <w:szCs w:val="24"/>
                <w:lang w:eastAsia="it-IT"/>
              </w:rPr>
            </w:pPr>
            <w:r w:rsidRPr="004E329F">
              <w:rPr>
                <w:rFonts w:eastAsia="Times New Roman"/>
                <w:sz w:val="24"/>
                <w:szCs w:val="24"/>
                <w:lang w:eastAsia="it-IT"/>
              </w:rPr>
              <w:t>Impianti dotati di generatore/i di calore a fiamma con potenza al focolare da 35,1 kW a 116 kW</w:t>
            </w:r>
          </w:p>
        </w:tc>
        <w:tc>
          <w:tcPr>
            <w:tcW w:w="1846" w:type="dxa"/>
            <w:tcBorders>
              <w:top w:val="nil"/>
              <w:left w:val="nil"/>
              <w:bottom w:val="single" w:sz="4" w:space="0" w:color="000000"/>
              <w:right w:val="single" w:sz="4" w:space="0" w:color="000000"/>
            </w:tcBorders>
            <w:tcMar>
              <w:top w:w="0" w:type="dxa"/>
              <w:left w:w="70" w:type="dxa"/>
              <w:bottom w:w="0" w:type="dxa"/>
              <w:right w:w="70" w:type="dxa"/>
            </w:tcMar>
            <w:vAlign w:val="center"/>
          </w:tcPr>
          <w:p w14:paraId="5DCFB893" w14:textId="46A6F2DB" w:rsidR="00EF403B" w:rsidRPr="004E329F" w:rsidRDefault="003E2F0A" w:rsidP="004E329F">
            <w:pPr>
              <w:autoSpaceDE w:val="0"/>
              <w:autoSpaceDN w:val="0"/>
              <w:adjustRightInd w:val="0"/>
              <w:spacing w:after="0" w:line="276" w:lineRule="auto"/>
              <w:ind w:left="142" w:right="140"/>
              <w:jc w:val="center"/>
              <w:rPr>
                <w:rFonts w:eastAsia="Times New Roman"/>
                <w:b/>
                <w:sz w:val="24"/>
                <w:szCs w:val="24"/>
                <w:lang w:eastAsia="it-IT"/>
              </w:rPr>
            </w:pPr>
            <w:r>
              <w:rPr>
                <w:rFonts w:eastAsia="Times New Roman"/>
                <w:b/>
                <w:sz w:val="24"/>
                <w:szCs w:val="24"/>
                <w:lang w:eastAsia="it-IT"/>
              </w:rPr>
              <w:t xml:space="preserve">€ </w:t>
            </w:r>
            <w:r w:rsidR="00EF403B" w:rsidRPr="004E329F">
              <w:rPr>
                <w:rFonts w:eastAsia="Times New Roman"/>
                <w:b/>
                <w:sz w:val="24"/>
                <w:szCs w:val="24"/>
                <w:lang w:eastAsia="it-IT"/>
              </w:rPr>
              <w:t>110,00</w:t>
            </w:r>
          </w:p>
        </w:tc>
      </w:tr>
      <w:tr w:rsidR="00EF403B" w:rsidRPr="004E329F" w14:paraId="3EDCE8D6" w14:textId="77777777" w:rsidTr="00EF403B">
        <w:trPr>
          <w:jc w:val="center"/>
        </w:trPr>
        <w:tc>
          <w:tcPr>
            <w:tcW w:w="55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70EEBBFC" w14:textId="77777777" w:rsidR="00EF403B" w:rsidRPr="004E329F" w:rsidRDefault="00EF403B" w:rsidP="004E329F">
            <w:pPr>
              <w:tabs>
                <w:tab w:val="left" w:pos="356"/>
              </w:tabs>
              <w:autoSpaceDE w:val="0"/>
              <w:autoSpaceDN w:val="0"/>
              <w:adjustRightInd w:val="0"/>
              <w:spacing w:after="0" w:line="240" w:lineRule="auto"/>
              <w:ind w:left="72" w:right="153" w:hanging="70"/>
              <w:jc w:val="center"/>
              <w:rPr>
                <w:rFonts w:eastAsia="Times New Roman"/>
                <w:b/>
                <w:sz w:val="24"/>
                <w:szCs w:val="24"/>
                <w:lang w:eastAsia="it-IT"/>
              </w:rPr>
            </w:pPr>
            <w:r w:rsidRPr="004E329F">
              <w:rPr>
                <w:rFonts w:eastAsia="Times New Roman"/>
                <w:b/>
                <w:sz w:val="24"/>
                <w:szCs w:val="24"/>
                <w:lang w:eastAsia="it-IT"/>
              </w:rPr>
              <w:t>3</w:t>
            </w:r>
          </w:p>
        </w:tc>
        <w:tc>
          <w:tcPr>
            <w:tcW w:w="7237" w:type="dxa"/>
            <w:tcBorders>
              <w:top w:val="nil"/>
              <w:left w:val="nil"/>
              <w:bottom w:val="single" w:sz="4" w:space="0" w:color="000000"/>
              <w:right w:val="single" w:sz="4" w:space="0" w:color="000000"/>
            </w:tcBorders>
            <w:tcMar>
              <w:top w:w="0" w:type="dxa"/>
              <w:left w:w="70" w:type="dxa"/>
              <w:bottom w:w="0" w:type="dxa"/>
              <w:right w:w="70" w:type="dxa"/>
            </w:tcMar>
            <w:vAlign w:val="center"/>
          </w:tcPr>
          <w:p w14:paraId="1AA854B4" w14:textId="1805251C" w:rsidR="00EF403B" w:rsidRPr="004E329F" w:rsidRDefault="00EF403B" w:rsidP="003E2F0A">
            <w:pPr>
              <w:autoSpaceDE w:val="0"/>
              <w:autoSpaceDN w:val="0"/>
              <w:adjustRightInd w:val="0"/>
              <w:spacing w:after="0" w:line="276" w:lineRule="auto"/>
              <w:ind w:left="142" w:right="140"/>
              <w:rPr>
                <w:rFonts w:eastAsia="Times New Roman"/>
                <w:i/>
                <w:sz w:val="18"/>
                <w:szCs w:val="24"/>
                <w:lang w:eastAsia="it-IT"/>
              </w:rPr>
            </w:pPr>
            <w:r w:rsidRPr="004E329F">
              <w:rPr>
                <w:rFonts w:eastAsia="Times New Roman"/>
                <w:sz w:val="24"/>
                <w:szCs w:val="24"/>
                <w:lang w:eastAsia="it-IT"/>
              </w:rPr>
              <w:t>Impianti dotati di generatore/i di calore a fiamma con potenza al focolare da 116,1 kW a 350 kW</w:t>
            </w:r>
          </w:p>
        </w:tc>
        <w:tc>
          <w:tcPr>
            <w:tcW w:w="1846"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6C641F3" w14:textId="0C5FBE5F" w:rsidR="00EF403B" w:rsidRPr="004E329F" w:rsidRDefault="003E2F0A" w:rsidP="004E329F">
            <w:pPr>
              <w:autoSpaceDE w:val="0"/>
              <w:autoSpaceDN w:val="0"/>
              <w:adjustRightInd w:val="0"/>
              <w:spacing w:after="0" w:line="276" w:lineRule="auto"/>
              <w:ind w:left="142" w:right="140"/>
              <w:jc w:val="center"/>
              <w:rPr>
                <w:rFonts w:eastAsia="Times New Roman"/>
                <w:b/>
                <w:sz w:val="24"/>
                <w:szCs w:val="24"/>
                <w:lang w:eastAsia="it-IT"/>
              </w:rPr>
            </w:pPr>
            <w:r>
              <w:rPr>
                <w:rFonts w:eastAsia="Times New Roman"/>
                <w:b/>
                <w:sz w:val="24"/>
                <w:szCs w:val="24"/>
                <w:lang w:eastAsia="it-IT"/>
              </w:rPr>
              <w:t xml:space="preserve">€ </w:t>
            </w:r>
            <w:r w:rsidR="00EF403B" w:rsidRPr="004E329F">
              <w:rPr>
                <w:rFonts w:eastAsia="Times New Roman"/>
                <w:b/>
                <w:sz w:val="24"/>
                <w:szCs w:val="24"/>
                <w:lang w:eastAsia="it-IT"/>
              </w:rPr>
              <w:t>200,00</w:t>
            </w:r>
          </w:p>
        </w:tc>
      </w:tr>
      <w:tr w:rsidR="00EF403B" w:rsidRPr="004E329F" w14:paraId="283CB429" w14:textId="77777777" w:rsidTr="00EF403B">
        <w:trPr>
          <w:jc w:val="center"/>
        </w:trPr>
        <w:tc>
          <w:tcPr>
            <w:tcW w:w="55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3BDD2040" w14:textId="77777777" w:rsidR="00EF403B" w:rsidRPr="004E329F" w:rsidRDefault="00EF403B" w:rsidP="004E329F">
            <w:pPr>
              <w:tabs>
                <w:tab w:val="left" w:pos="356"/>
              </w:tabs>
              <w:autoSpaceDE w:val="0"/>
              <w:autoSpaceDN w:val="0"/>
              <w:adjustRightInd w:val="0"/>
              <w:spacing w:after="0" w:line="240" w:lineRule="auto"/>
              <w:ind w:left="72" w:right="153" w:hanging="70"/>
              <w:jc w:val="center"/>
              <w:rPr>
                <w:rFonts w:eastAsia="Times New Roman"/>
                <w:b/>
                <w:sz w:val="24"/>
                <w:szCs w:val="24"/>
                <w:lang w:eastAsia="it-IT"/>
              </w:rPr>
            </w:pPr>
            <w:r w:rsidRPr="004E329F">
              <w:rPr>
                <w:rFonts w:eastAsia="Times New Roman"/>
                <w:b/>
                <w:sz w:val="24"/>
                <w:szCs w:val="24"/>
                <w:lang w:eastAsia="it-IT"/>
              </w:rPr>
              <w:t>4</w:t>
            </w:r>
          </w:p>
        </w:tc>
        <w:tc>
          <w:tcPr>
            <w:tcW w:w="7237" w:type="dxa"/>
            <w:tcBorders>
              <w:top w:val="nil"/>
              <w:left w:val="nil"/>
              <w:bottom w:val="single" w:sz="4" w:space="0" w:color="000000"/>
              <w:right w:val="single" w:sz="4" w:space="0" w:color="000000"/>
            </w:tcBorders>
            <w:tcMar>
              <w:top w:w="0" w:type="dxa"/>
              <w:left w:w="70" w:type="dxa"/>
              <w:bottom w:w="0" w:type="dxa"/>
              <w:right w:w="70" w:type="dxa"/>
            </w:tcMar>
            <w:vAlign w:val="center"/>
          </w:tcPr>
          <w:p w14:paraId="7EB1D131" w14:textId="602C3F55" w:rsidR="00EF403B" w:rsidRPr="004E329F" w:rsidRDefault="00EF403B" w:rsidP="003E2F0A">
            <w:pPr>
              <w:autoSpaceDE w:val="0"/>
              <w:autoSpaceDN w:val="0"/>
              <w:adjustRightInd w:val="0"/>
              <w:spacing w:after="0" w:line="276" w:lineRule="auto"/>
              <w:ind w:left="142" w:right="140"/>
              <w:rPr>
                <w:rFonts w:eastAsia="Times New Roman"/>
                <w:i/>
                <w:sz w:val="18"/>
                <w:szCs w:val="24"/>
                <w:lang w:eastAsia="it-IT"/>
              </w:rPr>
            </w:pPr>
            <w:r w:rsidRPr="004E329F">
              <w:rPr>
                <w:rFonts w:eastAsia="Times New Roman"/>
                <w:sz w:val="24"/>
                <w:szCs w:val="24"/>
                <w:lang w:eastAsia="it-IT"/>
              </w:rPr>
              <w:t>Impianti dotati di generatore/i di calore a fiamma con potenza al focolare superiore a 350 kW</w:t>
            </w:r>
          </w:p>
        </w:tc>
        <w:tc>
          <w:tcPr>
            <w:tcW w:w="1846" w:type="dxa"/>
            <w:tcBorders>
              <w:top w:val="nil"/>
              <w:left w:val="nil"/>
              <w:bottom w:val="single" w:sz="4" w:space="0" w:color="000000"/>
              <w:right w:val="single" w:sz="4" w:space="0" w:color="000000"/>
            </w:tcBorders>
            <w:tcMar>
              <w:top w:w="0" w:type="dxa"/>
              <w:left w:w="70" w:type="dxa"/>
              <w:bottom w:w="0" w:type="dxa"/>
              <w:right w:w="70" w:type="dxa"/>
            </w:tcMar>
            <w:vAlign w:val="center"/>
          </w:tcPr>
          <w:p w14:paraId="06B35125" w14:textId="1F5FF49F" w:rsidR="00EF403B" w:rsidRPr="004E329F" w:rsidRDefault="003E2F0A" w:rsidP="004E329F">
            <w:pPr>
              <w:autoSpaceDE w:val="0"/>
              <w:autoSpaceDN w:val="0"/>
              <w:adjustRightInd w:val="0"/>
              <w:spacing w:after="0" w:line="276" w:lineRule="auto"/>
              <w:ind w:left="142" w:right="140"/>
              <w:jc w:val="center"/>
              <w:rPr>
                <w:rFonts w:eastAsia="Times New Roman"/>
                <w:b/>
                <w:sz w:val="24"/>
                <w:szCs w:val="24"/>
                <w:lang w:eastAsia="it-IT"/>
              </w:rPr>
            </w:pPr>
            <w:r>
              <w:rPr>
                <w:rFonts w:eastAsia="Times New Roman"/>
                <w:b/>
                <w:sz w:val="24"/>
                <w:szCs w:val="24"/>
                <w:lang w:eastAsia="it-IT"/>
              </w:rPr>
              <w:t xml:space="preserve">€ </w:t>
            </w:r>
            <w:r w:rsidR="00EF403B" w:rsidRPr="004E329F">
              <w:rPr>
                <w:rFonts w:eastAsia="Times New Roman"/>
                <w:b/>
                <w:sz w:val="24"/>
                <w:szCs w:val="24"/>
                <w:lang w:eastAsia="it-IT"/>
              </w:rPr>
              <w:t>280,00</w:t>
            </w:r>
          </w:p>
        </w:tc>
      </w:tr>
      <w:tr w:rsidR="00EF403B" w:rsidRPr="004E329F" w14:paraId="39FD26F8" w14:textId="77777777" w:rsidTr="00EF403B">
        <w:trPr>
          <w:jc w:val="center"/>
        </w:trPr>
        <w:tc>
          <w:tcPr>
            <w:tcW w:w="55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3BD859D1" w14:textId="77777777" w:rsidR="00EF403B" w:rsidRPr="004E329F" w:rsidRDefault="00EF403B" w:rsidP="004E329F">
            <w:pPr>
              <w:tabs>
                <w:tab w:val="left" w:pos="356"/>
              </w:tabs>
              <w:autoSpaceDE w:val="0"/>
              <w:autoSpaceDN w:val="0"/>
              <w:adjustRightInd w:val="0"/>
              <w:spacing w:after="0" w:line="240" w:lineRule="auto"/>
              <w:ind w:left="72" w:right="153" w:hanging="70"/>
              <w:jc w:val="center"/>
              <w:rPr>
                <w:rFonts w:eastAsia="Times New Roman"/>
                <w:b/>
                <w:sz w:val="24"/>
                <w:szCs w:val="24"/>
                <w:lang w:eastAsia="it-IT"/>
              </w:rPr>
            </w:pPr>
            <w:r w:rsidRPr="004E329F">
              <w:rPr>
                <w:rFonts w:eastAsia="Times New Roman"/>
                <w:b/>
                <w:sz w:val="24"/>
                <w:szCs w:val="24"/>
                <w:lang w:eastAsia="it-IT"/>
              </w:rPr>
              <w:t>5</w:t>
            </w:r>
          </w:p>
        </w:tc>
        <w:tc>
          <w:tcPr>
            <w:tcW w:w="7237" w:type="dxa"/>
            <w:tcBorders>
              <w:top w:val="nil"/>
              <w:left w:val="nil"/>
              <w:bottom w:val="single" w:sz="4" w:space="0" w:color="000000"/>
              <w:right w:val="single" w:sz="4" w:space="0" w:color="000000"/>
            </w:tcBorders>
            <w:tcMar>
              <w:top w:w="0" w:type="dxa"/>
              <w:left w:w="70" w:type="dxa"/>
              <w:bottom w:w="0" w:type="dxa"/>
              <w:right w:w="70" w:type="dxa"/>
            </w:tcMar>
            <w:vAlign w:val="center"/>
          </w:tcPr>
          <w:p w14:paraId="3704C14B" w14:textId="752CB27A" w:rsidR="00EF403B" w:rsidRPr="004E329F" w:rsidRDefault="00EF403B" w:rsidP="003E2F0A">
            <w:pPr>
              <w:autoSpaceDE w:val="0"/>
              <w:autoSpaceDN w:val="0"/>
              <w:adjustRightInd w:val="0"/>
              <w:spacing w:after="0" w:line="276" w:lineRule="auto"/>
              <w:ind w:left="142" w:right="140"/>
              <w:rPr>
                <w:rFonts w:eastAsia="Times New Roman"/>
                <w:i/>
                <w:sz w:val="18"/>
                <w:szCs w:val="24"/>
                <w:lang w:eastAsia="it-IT"/>
              </w:rPr>
            </w:pPr>
            <w:r w:rsidRPr="004E329F">
              <w:rPr>
                <w:rFonts w:eastAsia="Times New Roman"/>
                <w:sz w:val="24"/>
                <w:szCs w:val="24"/>
                <w:lang w:eastAsia="it-IT"/>
              </w:rPr>
              <w:t>Macchine frigorifere e/o pompe di calore a compressione di vapore ad azionamento elettrico e macchine frigorifere e/o pompe di calore ad assorbimento a fiamma diretta aventi potenza utile nominale complessiva maggiore di 12 kW fino a 100 kW</w:t>
            </w:r>
          </w:p>
        </w:tc>
        <w:tc>
          <w:tcPr>
            <w:tcW w:w="1846"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C783103" w14:textId="6D718032" w:rsidR="00EF403B" w:rsidRPr="004E329F" w:rsidRDefault="003E2F0A" w:rsidP="004E329F">
            <w:pPr>
              <w:autoSpaceDE w:val="0"/>
              <w:autoSpaceDN w:val="0"/>
              <w:adjustRightInd w:val="0"/>
              <w:spacing w:after="0" w:line="276" w:lineRule="auto"/>
              <w:ind w:left="142" w:right="140"/>
              <w:jc w:val="center"/>
              <w:rPr>
                <w:rFonts w:eastAsia="Times New Roman"/>
                <w:b/>
                <w:sz w:val="24"/>
                <w:szCs w:val="24"/>
                <w:lang w:eastAsia="it-IT"/>
              </w:rPr>
            </w:pPr>
            <w:r>
              <w:rPr>
                <w:rFonts w:eastAsia="Times New Roman"/>
                <w:b/>
                <w:sz w:val="24"/>
                <w:szCs w:val="24"/>
                <w:lang w:eastAsia="it-IT"/>
              </w:rPr>
              <w:t xml:space="preserve">€ </w:t>
            </w:r>
            <w:r w:rsidR="00EF403B" w:rsidRPr="004E329F">
              <w:rPr>
                <w:rFonts w:eastAsia="Times New Roman"/>
                <w:b/>
                <w:sz w:val="24"/>
                <w:szCs w:val="24"/>
                <w:lang w:eastAsia="it-IT"/>
              </w:rPr>
              <w:t>80,00</w:t>
            </w:r>
          </w:p>
        </w:tc>
      </w:tr>
      <w:tr w:rsidR="00EF403B" w:rsidRPr="004E329F" w14:paraId="435F6B3C" w14:textId="77777777" w:rsidTr="00EF403B">
        <w:trPr>
          <w:jc w:val="center"/>
        </w:trPr>
        <w:tc>
          <w:tcPr>
            <w:tcW w:w="55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3FCCBAA1" w14:textId="77777777" w:rsidR="00EF403B" w:rsidRPr="004E329F" w:rsidRDefault="00EF403B" w:rsidP="004E329F">
            <w:pPr>
              <w:tabs>
                <w:tab w:val="left" w:pos="356"/>
              </w:tabs>
              <w:autoSpaceDE w:val="0"/>
              <w:autoSpaceDN w:val="0"/>
              <w:adjustRightInd w:val="0"/>
              <w:spacing w:after="0" w:line="240" w:lineRule="auto"/>
              <w:ind w:left="72" w:right="153" w:hanging="70"/>
              <w:jc w:val="center"/>
              <w:rPr>
                <w:rFonts w:eastAsia="Times New Roman"/>
                <w:b/>
                <w:sz w:val="24"/>
                <w:szCs w:val="24"/>
                <w:lang w:eastAsia="it-IT"/>
              </w:rPr>
            </w:pPr>
            <w:r w:rsidRPr="004E329F">
              <w:rPr>
                <w:rFonts w:eastAsia="Times New Roman"/>
                <w:b/>
                <w:sz w:val="24"/>
                <w:szCs w:val="24"/>
                <w:lang w:eastAsia="it-IT"/>
              </w:rPr>
              <w:t>6</w:t>
            </w:r>
          </w:p>
        </w:tc>
        <w:tc>
          <w:tcPr>
            <w:tcW w:w="7237" w:type="dxa"/>
            <w:tcBorders>
              <w:top w:val="nil"/>
              <w:left w:val="nil"/>
              <w:bottom w:val="single" w:sz="4" w:space="0" w:color="000000"/>
              <w:right w:val="single" w:sz="4" w:space="0" w:color="000000"/>
            </w:tcBorders>
            <w:tcMar>
              <w:top w:w="0" w:type="dxa"/>
              <w:left w:w="70" w:type="dxa"/>
              <w:bottom w:w="0" w:type="dxa"/>
              <w:right w:w="70" w:type="dxa"/>
            </w:tcMar>
            <w:vAlign w:val="center"/>
          </w:tcPr>
          <w:p w14:paraId="53779E35" w14:textId="047D1B87" w:rsidR="00EF403B" w:rsidRPr="004E329F" w:rsidRDefault="00EF403B" w:rsidP="003E2F0A">
            <w:pPr>
              <w:autoSpaceDE w:val="0"/>
              <w:autoSpaceDN w:val="0"/>
              <w:adjustRightInd w:val="0"/>
              <w:spacing w:after="0" w:line="276" w:lineRule="auto"/>
              <w:ind w:left="142" w:right="140"/>
              <w:rPr>
                <w:rFonts w:eastAsia="Times New Roman"/>
                <w:i/>
                <w:sz w:val="18"/>
                <w:szCs w:val="24"/>
                <w:lang w:eastAsia="it-IT"/>
              </w:rPr>
            </w:pPr>
            <w:r w:rsidRPr="004E329F">
              <w:rPr>
                <w:rFonts w:eastAsia="Times New Roman"/>
                <w:sz w:val="24"/>
                <w:szCs w:val="24"/>
                <w:lang w:eastAsia="it-IT"/>
              </w:rPr>
              <w:t>Macchine frigorifere e/o pompe di calore a compressione di vapore ad azionamento elettrico e macchine frigorifere e/o pompe di calore ad assorbimento a fiamma diretta aventi potenza utile nominale complessiva &gt; 100 kW</w:t>
            </w:r>
          </w:p>
        </w:tc>
        <w:tc>
          <w:tcPr>
            <w:tcW w:w="1846" w:type="dxa"/>
            <w:tcBorders>
              <w:top w:val="nil"/>
              <w:left w:val="nil"/>
              <w:bottom w:val="single" w:sz="4" w:space="0" w:color="000000"/>
              <w:right w:val="single" w:sz="4" w:space="0" w:color="000000"/>
            </w:tcBorders>
            <w:tcMar>
              <w:top w:w="0" w:type="dxa"/>
              <w:left w:w="70" w:type="dxa"/>
              <w:bottom w:w="0" w:type="dxa"/>
              <w:right w:w="70" w:type="dxa"/>
            </w:tcMar>
            <w:vAlign w:val="center"/>
          </w:tcPr>
          <w:p w14:paraId="2EFD3823" w14:textId="31A83E52" w:rsidR="00EF403B" w:rsidRPr="004E329F" w:rsidRDefault="003E2F0A" w:rsidP="004E329F">
            <w:pPr>
              <w:autoSpaceDE w:val="0"/>
              <w:autoSpaceDN w:val="0"/>
              <w:adjustRightInd w:val="0"/>
              <w:spacing w:after="0" w:line="276" w:lineRule="auto"/>
              <w:ind w:left="142" w:right="140"/>
              <w:jc w:val="center"/>
              <w:rPr>
                <w:rFonts w:eastAsia="Times New Roman"/>
                <w:b/>
                <w:sz w:val="24"/>
                <w:szCs w:val="24"/>
                <w:lang w:eastAsia="it-IT"/>
              </w:rPr>
            </w:pPr>
            <w:r>
              <w:rPr>
                <w:rFonts w:eastAsia="Times New Roman"/>
                <w:b/>
                <w:sz w:val="24"/>
                <w:szCs w:val="24"/>
                <w:lang w:eastAsia="it-IT"/>
              </w:rPr>
              <w:t xml:space="preserve">€ </w:t>
            </w:r>
            <w:r w:rsidR="00EF403B" w:rsidRPr="004E329F">
              <w:rPr>
                <w:rFonts w:eastAsia="Times New Roman"/>
                <w:b/>
                <w:sz w:val="24"/>
                <w:szCs w:val="24"/>
                <w:lang w:eastAsia="it-IT"/>
              </w:rPr>
              <w:t>160,00</w:t>
            </w:r>
          </w:p>
        </w:tc>
      </w:tr>
      <w:tr w:rsidR="00EF403B" w:rsidRPr="004E329F" w14:paraId="4A9D1B25" w14:textId="77777777" w:rsidTr="00EF403B">
        <w:trPr>
          <w:jc w:val="center"/>
        </w:trPr>
        <w:tc>
          <w:tcPr>
            <w:tcW w:w="55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3EA1B271" w14:textId="77777777" w:rsidR="00EF403B" w:rsidRPr="004E329F" w:rsidRDefault="00EF403B" w:rsidP="004E329F">
            <w:pPr>
              <w:tabs>
                <w:tab w:val="left" w:pos="356"/>
              </w:tabs>
              <w:autoSpaceDE w:val="0"/>
              <w:autoSpaceDN w:val="0"/>
              <w:adjustRightInd w:val="0"/>
              <w:spacing w:after="0" w:line="240" w:lineRule="auto"/>
              <w:ind w:left="72" w:right="153" w:hanging="70"/>
              <w:jc w:val="center"/>
              <w:rPr>
                <w:rFonts w:eastAsia="Times New Roman"/>
                <w:b/>
                <w:sz w:val="24"/>
                <w:szCs w:val="24"/>
                <w:lang w:eastAsia="it-IT"/>
              </w:rPr>
            </w:pPr>
            <w:r w:rsidRPr="004E329F">
              <w:rPr>
                <w:rFonts w:eastAsia="Times New Roman"/>
                <w:b/>
                <w:sz w:val="24"/>
                <w:szCs w:val="24"/>
                <w:lang w:eastAsia="it-IT"/>
              </w:rPr>
              <w:t>7</w:t>
            </w:r>
          </w:p>
        </w:tc>
        <w:tc>
          <w:tcPr>
            <w:tcW w:w="7237" w:type="dxa"/>
            <w:tcBorders>
              <w:top w:val="nil"/>
              <w:left w:val="nil"/>
              <w:bottom w:val="single" w:sz="4" w:space="0" w:color="000000"/>
              <w:right w:val="single" w:sz="4" w:space="0" w:color="000000"/>
            </w:tcBorders>
            <w:tcMar>
              <w:top w:w="0" w:type="dxa"/>
              <w:left w:w="70" w:type="dxa"/>
              <w:bottom w:w="0" w:type="dxa"/>
              <w:right w:w="70" w:type="dxa"/>
            </w:tcMar>
            <w:vAlign w:val="center"/>
          </w:tcPr>
          <w:p w14:paraId="59AC996D" w14:textId="68DC8198" w:rsidR="00EF403B" w:rsidRPr="004E329F" w:rsidRDefault="00EF403B" w:rsidP="003E2F0A">
            <w:pPr>
              <w:autoSpaceDE w:val="0"/>
              <w:autoSpaceDN w:val="0"/>
              <w:adjustRightInd w:val="0"/>
              <w:spacing w:after="0" w:line="276" w:lineRule="auto"/>
              <w:ind w:left="142" w:right="140"/>
              <w:rPr>
                <w:rFonts w:eastAsia="Times New Roman"/>
                <w:i/>
                <w:sz w:val="18"/>
                <w:szCs w:val="24"/>
                <w:lang w:eastAsia="it-IT"/>
              </w:rPr>
            </w:pPr>
            <w:r w:rsidRPr="004E329F">
              <w:rPr>
                <w:rFonts w:eastAsia="Times New Roman"/>
                <w:sz w:val="24"/>
                <w:szCs w:val="24"/>
                <w:lang w:eastAsia="it-IT"/>
              </w:rPr>
              <w:t>Pompe di calore a compressione di vapore azionate da motore endotermico</w:t>
            </w:r>
          </w:p>
        </w:tc>
        <w:tc>
          <w:tcPr>
            <w:tcW w:w="1846"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D86E21C" w14:textId="1F272767" w:rsidR="00EF403B" w:rsidRPr="004E329F" w:rsidRDefault="003E2F0A" w:rsidP="004E329F">
            <w:pPr>
              <w:autoSpaceDE w:val="0"/>
              <w:autoSpaceDN w:val="0"/>
              <w:adjustRightInd w:val="0"/>
              <w:spacing w:after="0" w:line="276" w:lineRule="auto"/>
              <w:ind w:left="142" w:right="140"/>
              <w:jc w:val="center"/>
              <w:rPr>
                <w:rFonts w:eastAsia="Times New Roman"/>
                <w:b/>
                <w:sz w:val="24"/>
                <w:szCs w:val="24"/>
                <w:lang w:eastAsia="it-IT"/>
              </w:rPr>
            </w:pPr>
            <w:r>
              <w:rPr>
                <w:rFonts w:eastAsia="Times New Roman"/>
                <w:b/>
                <w:sz w:val="24"/>
                <w:szCs w:val="24"/>
                <w:lang w:eastAsia="it-IT"/>
              </w:rPr>
              <w:t xml:space="preserve">€ </w:t>
            </w:r>
            <w:r w:rsidR="00EF403B" w:rsidRPr="004E329F">
              <w:rPr>
                <w:rFonts w:eastAsia="Times New Roman"/>
                <w:b/>
                <w:sz w:val="24"/>
                <w:szCs w:val="24"/>
                <w:lang w:eastAsia="it-IT"/>
              </w:rPr>
              <w:t>160,00</w:t>
            </w:r>
          </w:p>
        </w:tc>
      </w:tr>
      <w:tr w:rsidR="00EF403B" w:rsidRPr="004E329F" w14:paraId="10DC5825" w14:textId="77777777" w:rsidTr="00EF403B">
        <w:trPr>
          <w:jc w:val="center"/>
        </w:trPr>
        <w:tc>
          <w:tcPr>
            <w:tcW w:w="55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08274585" w14:textId="77777777" w:rsidR="00EF403B" w:rsidRPr="004E329F" w:rsidRDefault="00EF403B" w:rsidP="004E329F">
            <w:pPr>
              <w:tabs>
                <w:tab w:val="left" w:pos="356"/>
              </w:tabs>
              <w:autoSpaceDE w:val="0"/>
              <w:autoSpaceDN w:val="0"/>
              <w:adjustRightInd w:val="0"/>
              <w:spacing w:after="0" w:line="240" w:lineRule="auto"/>
              <w:ind w:left="72" w:right="153" w:hanging="70"/>
              <w:jc w:val="center"/>
              <w:rPr>
                <w:rFonts w:eastAsia="Times New Roman"/>
                <w:b/>
                <w:sz w:val="24"/>
                <w:szCs w:val="24"/>
                <w:lang w:eastAsia="it-IT"/>
              </w:rPr>
            </w:pPr>
            <w:r w:rsidRPr="004E329F">
              <w:rPr>
                <w:rFonts w:eastAsia="Times New Roman"/>
                <w:b/>
                <w:sz w:val="24"/>
                <w:szCs w:val="24"/>
                <w:lang w:eastAsia="it-IT"/>
              </w:rPr>
              <w:t>8</w:t>
            </w:r>
          </w:p>
        </w:tc>
        <w:tc>
          <w:tcPr>
            <w:tcW w:w="7237" w:type="dxa"/>
            <w:tcBorders>
              <w:top w:val="nil"/>
              <w:left w:val="nil"/>
              <w:bottom w:val="single" w:sz="4" w:space="0" w:color="000000"/>
              <w:right w:val="single" w:sz="4" w:space="0" w:color="000000"/>
            </w:tcBorders>
            <w:tcMar>
              <w:top w:w="0" w:type="dxa"/>
              <w:left w:w="70" w:type="dxa"/>
              <w:bottom w:w="0" w:type="dxa"/>
              <w:right w:w="70" w:type="dxa"/>
            </w:tcMar>
            <w:vAlign w:val="center"/>
          </w:tcPr>
          <w:p w14:paraId="0DB18FA5" w14:textId="4B1C8D68" w:rsidR="00EF403B" w:rsidRPr="004E329F" w:rsidRDefault="00EF403B" w:rsidP="003E2F0A">
            <w:pPr>
              <w:autoSpaceDE w:val="0"/>
              <w:autoSpaceDN w:val="0"/>
              <w:adjustRightInd w:val="0"/>
              <w:spacing w:after="0" w:line="276" w:lineRule="auto"/>
              <w:ind w:left="142" w:right="140"/>
              <w:rPr>
                <w:rFonts w:eastAsia="Times New Roman"/>
                <w:i/>
                <w:sz w:val="18"/>
                <w:szCs w:val="24"/>
                <w:lang w:eastAsia="it-IT"/>
              </w:rPr>
            </w:pPr>
            <w:r w:rsidRPr="004E329F">
              <w:rPr>
                <w:rFonts w:eastAsia="Times New Roman"/>
                <w:sz w:val="24"/>
                <w:szCs w:val="24"/>
                <w:lang w:eastAsia="it-IT"/>
              </w:rPr>
              <w:t>Pompe di calore ad assorbimento alimentate da energia termica</w:t>
            </w:r>
          </w:p>
        </w:tc>
        <w:tc>
          <w:tcPr>
            <w:tcW w:w="1846" w:type="dxa"/>
            <w:tcBorders>
              <w:top w:val="nil"/>
              <w:left w:val="nil"/>
              <w:bottom w:val="single" w:sz="4" w:space="0" w:color="000000"/>
              <w:right w:val="single" w:sz="4" w:space="0" w:color="000000"/>
            </w:tcBorders>
            <w:tcMar>
              <w:top w:w="0" w:type="dxa"/>
              <w:left w:w="70" w:type="dxa"/>
              <w:bottom w:w="0" w:type="dxa"/>
              <w:right w:w="70" w:type="dxa"/>
            </w:tcMar>
            <w:vAlign w:val="center"/>
          </w:tcPr>
          <w:p w14:paraId="6FE07458" w14:textId="184F781E" w:rsidR="00EF403B" w:rsidRPr="004E329F" w:rsidRDefault="003E2F0A" w:rsidP="004E329F">
            <w:pPr>
              <w:autoSpaceDE w:val="0"/>
              <w:autoSpaceDN w:val="0"/>
              <w:adjustRightInd w:val="0"/>
              <w:spacing w:after="0" w:line="276" w:lineRule="auto"/>
              <w:ind w:left="142" w:right="140"/>
              <w:jc w:val="center"/>
              <w:rPr>
                <w:rFonts w:eastAsia="Times New Roman"/>
                <w:b/>
                <w:sz w:val="24"/>
                <w:szCs w:val="24"/>
                <w:lang w:eastAsia="it-IT"/>
              </w:rPr>
            </w:pPr>
            <w:r>
              <w:rPr>
                <w:rFonts w:eastAsia="Times New Roman"/>
                <w:b/>
                <w:sz w:val="24"/>
                <w:szCs w:val="24"/>
                <w:lang w:eastAsia="it-IT"/>
              </w:rPr>
              <w:t xml:space="preserve">€ </w:t>
            </w:r>
            <w:r w:rsidR="00EF403B" w:rsidRPr="004E329F">
              <w:rPr>
                <w:rFonts w:eastAsia="Times New Roman"/>
                <w:b/>
                <w:sz w:val="24"/>
                <w:szCs w:val="24"/>
                <w:lang w:eastAsia="it-IT"/>
              </w:rPr>
              <w:t>100,00</w:t>
            </w:r>
          </w:p>
        </w:tc>
      </w:tr>
      <w:tr w:rsidR="00EF403B" w:rsidRPr="004E329F" w14:paraId="228128E1" w14:textId="77777777" w:rsidTr="00EF403B">
        <w:trPr>
          <w:jc w:val="center"/>
        </w:trPr>
        <w:tc>
          <w:tcPr>
            <w:tcW w:w="55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702E46CD" w14:textId="77777777" w:rsidR="00EF403B" w:rsidRPr="004E329F" w:rsidRDefault="00EF403B" w:rsidP="004E329F">
            <w:pPr>
              <w:tabs>
                <w:tab w:val="left" w:pos="356"/>
              </w:tabs>
              <w:autoSpaceDE w:val="0"/>
              <w:autoSpaceDN w:val="0"/>
              <w:adjustRightInd w:val="0"/>
              <w:spacing w:after="0" w:line="240" w:lineRule="auto"/>
              <w:ind w:left="72" w:right="153" w:hanging="70"/>
              <w:jc w:val="center"/>
              <w:rPr>
                <w:rFonts w:eastAsia="Times New Roman"/>
                <w:b/>
                <w:sz w:val="24"/>
                <w:szCs w:val="24"/>
                <w:lang w:eastAsia="it-IT"/>
              </w:rPr>
            </w:pPr>
            <w:r w:rsidRPr="004E329F">
              <w:rPr>
                <w:rFonts w:eastAsia="Times New Roman"/>
                <w:b/>
                <w:sz w:val="24"/>
                <w:szCs w:val="24"/>
                <w:lang w:eastAsia="it-IT"/>
              </w:rPr>
              <w:t>9</w:t>
            </w:r>
          </w:p>
        </w:tc>
        <w:tc>
          <w:tcPr>
            <w:tcW w:w="7237" w:type="dxa"/>
            <w:tcBorders>
              <w:top w:val="nil"/>
              <w:left w:val="nil"/>
              <w:bottom w:val="single" w:sz="4" w:space="0" w:color="000000"/>
              <w:right w:val="single" w:sz="4" w:space="0" w:color="000000"/>
            </w:tcBorders>
            <w:tcMar>
              <w:top w:w="0" w:type="dxa"/>
              <w:left w:w="70" w:type="dxa"/>
              <w:bottom w:w="0" w:type="dxa"/>
              <w:right w:w="70" w:type="dxa"/>
            </w:tcMar>
            <w:vAlign w:val="center"/>
          </w:tcPr>
          <w:p w14:paraId="24E510EB" w14:textId="09844910" w:rsidR="00EF403B" w:rsidRPr="004E329F" w:rsidRDefault="00EF403B" w:rsidP="003E2F0A">
            <w:pPr>
              <w:autoSpaceDE w:val="0"/>
              <w:autoSpaceDN w:val="0"/>
              <w:adjustRightInd w:val="0"/>
              <w:spacing w:after="0" w:line="276" w:lineRule="auto"/>
              <w:ind w:left="142" w:right="140"/>
              <w:rPr>
                <w:rFonts w:eastAsia="Times New Roman"/>
                <w:i/>
                <w:sz w:val="18"/>
                <w:szCs w:val="24"/>
                <w:lang w:eastAsia="it-IT"/>
              </w:rPr>
            </w:pPr>
            <w:r w:rsidRPr="004E329F">
              <w:rPr>
                <w:rFonts w:eastAsia="Times New Roman"/>
                <w:sz w:val="24"/>
                <w:szCs w:val="24"/>
                <w:lang w:eastAsia="it-IT"/>
              </w:rPr>
              <w:t>Impianti alimentati da teleriscaldamento: Sottostazione di scambio termico da rete ad utenza</w:t>
            </w:r>
          </w:p>
        </w:tc>
        <w:tc>
          <w:tcPr>
            <w:tcW w:w="1846" w:type="dxa"/>
            <w:tcBorders>
              <w:top w:val="nil"/>
              <w:left w:val="nil"/>
              <w:bottom w:val="single" w:sz="4" w:space="0" w:color="000000"/>
              <w:right w:val="single" w:sz="4" w:space="0" w:color="000000"/>
            </w:tcBorders>
            <w:tcMar>
              <w:top w:w="0" w:type="dxa"/>
              <w:left w:w="70" w:type="dxa"/>
              <w:bottom w:w="0" w:type="dxa"/>
              <w:right w:w="70" w:type="dxa"/>
            </w:tcMar>
            <w:vAlign w:val="center"/>
          </w:tcPr>
          <w:p w14:paraId="02C6DFB7" w14:textId="4708BEF4" w:rsidR="00EF403B" w:rsidRPr="004E329F" w:rsidRDefault="003E2F0A" w:rsidP="004E329F">
            <w:pPr>
              <w:autoSpaceDE w:val="0"/>
              <w:autoSpaceDN w:val="0"/>
              <w:adjustRightInd w:val="0"/>
              <w:spacing w:after="0" w:line="276" w:lineRule="auto"/>
              <w:ind w:left="142" w:right="140"/>
              <w:jc w:val="center"/>
              <w:rPr>
                <w:rFonts w:eastAsia="Times New Roman"/>
                <w:b/>
                <w:sz w:val="24"/>
                <w:szCs w:val="24"/>
                <w:lang w:eastAsia="it-IT"/>
              </w:rPr>
            </w:pPr>
            <w:r>
              <w:rPr>
                <w:rFonts w:eastAsia="Times New Roman"/>
                <w:b/>
                <w:sz w:val="24"/>
                <w:szCs w:val="24"/>
                <w:lang w:eastAsia="it-IT"/>
              </w:rPr>
              <w:t xml:space="preserve">€ </w:t>
            </w:r>
            <w:r w:rsidR="00EF403B" w:rsidRPr="004E329F">
              <w:rPr>
                <w:rFonts w:eastAsia="Times New Roman"/>
                <w:b/>
                <w:sz w:val="24"/>
                <w:szCs w:val="24"/>
                <w:lang w:eastAsia="it-IT"/>
              </w:rPr>
              <w:t>80,00</w:t>
            </w:r>
          </w:p>
        </w:tc>
      </w:tr>
      <w:tr w:rsidR="00EF403B" w:rsidRPr="004E329F" w14:paraId="4A6914A8" w14:textId="77777777" w:rsidTr="00EF403B">
        <w:trPr>
          <w:jc w:val="center"/>
        </w:trPr>
        <w:tc>
          <w:tcPr>
            <w:tcW w:w="55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5009F876" w14:textId="77777777" w:rsidR="00EF403B" w:rsidRPr="004E329F" w:rsidRDefault="00EF403B" w:rsidP="004E329F">
            <w:pPr>
              <w:tabs>
                <w:tab w:val="left" w:pos="356"/>
              </w:tabs>
              <w:autoSpaceDE w:val="0"/>
              <w:autoSpaceDN w:val="0"/>
              <w:adjustRightInd w:val="0"/>
              <w:spacing w:after="0" w:line="240" w:lineRule="auto"/>
              <w:ind w:left="72" w:right="153" w:hanging="70"/>
              <w:jc w:val="center"/>
              <w:rPr>
                <w:rFonts w:eastAsia="Times New Roman"/>
                <w:b/>
                <w:sz w:val="24"/>
                <w:szCs w:val="24"/>
                <w:lang w:eastAsia="it-IT"/>
              </w:rPr>
            </w:pPr>
            <w:r w:rsidRPr="004E329F">
              <w:rPr>
                <w:rFonts w:eastAsia="Times New Roman"/>
                <w:b/>
                <w:sz w:val="24"/>
                <w:szCs w:val="24"/>
                <w:lang w:eastAsia="it-IT"/>
              </w:rPr>
              <w:t>10</w:t>
            </w:r>
          </w:p>
        </w:tc>
        <w:tc>
          <w:tcPr>
            <w:tcW w:w="7237" w:type="dxa"/>
            <w:tcBorders>
              <w:top w:val="nil"/>
              <w:left w:val="nil"/>
              <w:bottom w:val="single" w:sz="4" w:space="0" w:color="000000"/>
              <w:right w:val="single" w:sz="4" w:space="0" w:color="000000"/>
            </w:tcBorders>
            <w:tcMar>
              <w:top w:w="0" w:type="dxa"/>
              <w:left w:w="70" w:type="dxa"/>
              <w:bottom w:w="0" w:type="dxa"/>
              <w:right w:w="70" w:type="dxa"/>
            </w:tcMar>
            <w:vAlign w:val="center"/>
          </w:tcPr>
          <w:p w14:paraId="5C05DE4D" w14:textId="210E195E" w:rsidR="00EF403B" w:rsidRPr="004E329F" w:rsidRDefault="00EF403B" w:rsidP="003E2F0A">
            <w:pPr>
              <w:autoSpaceDE w:val="0"/>
              <w:autoSpaceDN w:val="0"/>
              <w:adjustRightInd w:val="0"/>
              <w:spacing w:after="0" w:line="276" w:lineRule="auto"/>
              <w:ind w:left="142" w:right="140"/>
              <w:rPr>
                <w:rFonts w:eastAsia="Times New Roman"/>
                <w:i/>
                <w:sz w:val="18"/>
                <w:szCs w:val="24"/>
                <w:lang w:eastAsia="it-IT"/>
              </w:rPr>
            </w:pPr>
            <w:r w:rsidRPr="004E329F">
              <w:rPr>
                <w:rFonts w:eastAsia="Times New Roman"/>
                <w:sz w:val="24"/>
                <w:szCs w:val="24"/>
                <w:lang w:eastAsia="it-IT"/>
              </w:rPr>
              <w:t>Impianti cogenerativi: Microgenerazione</w:t>
            </w:r>
          </w:p>
        </w:tc>
        <w:tc>
          <w:tcPr>
            <w:tcW w:w="1846" w:type="dxa"/>
            <w:tcBorders>
              <w:top w:val="nil"/>
              <w:left w:val="nil"/>
              <w:bottom w:val="single" w:sz="4" w:space="0" w:color="000000"/>
              <w:right w:val="single" w:sz="4" w:space="0" w:color="000000"/>
            </w:tcBorders>
            <w:tcMar>
              <w:top w:w="0" w:type="dxa"/>
              <w:left w:w="70" w:type="dxa"/>
              <w:bottom w:w="0" w:type="dxa"/>
              <w:right w:w="70" w:type="dxa"/>
            </w:tcMar>
            <w:vAlign w:val="center"/>
          </w:tcPr>
          <w:p w14:paraId="682E11AD" w14:textId="4DC6D24B" w:rsidR="00EF403B" w:rsidRPr="004E329F" w:rsidRDefault="003E2F0A" w:rsidP="004E329F">
            <w:pPr>
              <w:autoSpaceDE w:val="0"/>
              <w:autoSpaceDN w:val="0"/>
              <w:adjustRightInd w:val="0"/>
              <w:spacing w:after="0" w:line="276" w:lineRule="auto"/>
              <w:ind w:left="142" w:right="140"/>
              <w:jc w:val="center"/>
              <w:rPr>
                <w:rFonts w:eastAsia="Times New Roman"/>
                <w:b/>
                <w:sz w:val="24"/>
                <w:szCs w:val="24"/>
                <w:lang w:eastAsia="it-IT"/>
              </w:rPr>
            </w:pPr>
            <w:r>
              <w:rPr>
                <w:rFonts w:eastAsia="Times New Roman"/>
                <w:b/>
                <w:sz w:val="24"/>
                <w:szCs w:val="24"/>
                <w:lang w:eastAsia="it-IT"/>
              </w:rPr>
              <w:t xml:space="preserve">€ </w:t>
            </w:r>
            <w:r w:rsidR="00EF403B" w:rsidRPr="004E329F">
              <w:rPr>
                <w:rFonts w:eastAsia="Times New Roman"/>
                <w:b/>
                <w:sz w:val="24"/>
                <w:szCs w:val="24"/>
                <w:lang w:eastAsia="it-IT"/>
              </w:rPr>
              <w:t>140,00</w:t>
            </w:r>
          </w:p>
        </w:tc>
      </w:tr>
      <w:tr w:rsidR="00EF403B" w:rsidRPr="004E329F" w14:paraId="1C2C1866" w14:textId="77777777" w:rsidTr="00EF403B">
        <w:trPr>
          <w:jc w:val="center"/>
        </w:trPr>
        <w:tc>
          <w:tcPr>
            <w:tcW w:w="5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4A3FB5" w14:textId="77777777" w:rsidR="00EF403B" w:rsidRPr="004E329F" w:rsidRDefault="00EF403B" w:rsidP="004E329F">
            <w:pPr>
              <w:tabs>
                <w:tab w:val="left" w:pos="356"/>
              </w:tabs>
              <w:autoSpaceDE w:val="0"/>
              <w:autoSpaceDN w:val="0"/>
              <w:adjustRightInd w:val="0"/>
              <w:spacing w:after="0" w:line="240" w:lineRule="auto"/>
              <w:ind w:left="72" w:right="153" w:hanging="70"/>
              <w:jc w:val="center"/>
              <w:rPr>
                <w:rFonts w:eastAsia="Times New Roman"/>
                <w:b/>
                <w:sz w:val="24"/>
                <w:szCs w:val="24"/>
                <w:lang w:eastAsia="it-IT"/>
              </w:rPr>
            </w:pPr>
            <w:r w:rsidRPr="004E329F">
              <w:rPr>
                <w:rFonts w:eastAsia="Times New Roman"/>
                <w:b/>
                <w:sz w:val="24"/>
                <w:szCs w:val="24"/>
                <w:lang w:eastAsia="it-IT"/>
              </w:rPr>
              <w:t>11</w:t>
            </w:r>
          </w:p>
        </w:tc>
        <w:tc>
          <w:tcPr>
            <w:tcW w:w="7237"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4C813BBE" w14:textId="300D5272" w:rsidR="00EF403B" w:rsidRPr="004E329F" w:rsidRDefault="00EF403B" w:rsidP="003E2F0A">
            <w:pPr>
              <w:autoSpaceDE w:val="0"/>
              <w:autoSpaceDN w:val="0"/>
              <w:adjustRightInd w:val="0"/>
              <w:spacing w:after="0" w:line="276" w:lineRule="auto"/>
              <w:ind w:left="142" w:right="140"/>
              <w:rPr>
                <w:rFonts w:eastAsia="Times New Roman"/>
                <w:i/>
                <w:sz w:val="18"/>
                <w:szCs w:val="24"/>
                <w:lang w:eastAsia="it-IT"/>
              </w:rPr>
            </w:pPr>
            <w:r w:rsidRPr="004E329F">
              <w:rPr>
                <w:rFonts w:eastAsia="Times New Roman"/>
                <w:sz w:val="24"/>
                <w:szCs w:val="24"/>
                <w:lang w:eastAsia="it-IT"/>
              </w:rPr>
              <w:t>Impianti cogenerativi: Unità cogenerative</w:t>
            </w:r>
          </w:p>
        </w:tc>
        <w:tc>
          <w:tcPr>
            <w:tcW w:w="1846"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14DDCDC7" w14:textId="11D1D2F7" w:rsidR="00EF403B" w:rsidRPr="004E329F" w:rsidRDefault="003E2F0A" w:rsidP="004E329F">
            <w:pPr>
              <w:autoSpaceDE w:val="0"/>
              <w:autoSpaceDN w:val="0"/>
              <w:adjustRightInd w:val="0"/>
              <w:spacing w:after="0" w:line="276" w:lineRule="auto"/>
              <w:ind w:left="142" w:right="140"/>
              <w:jc w:val="center"/>
              <w:rPr>
                <w:rFonts w:eastAsia="Times New Roman"/>
                <w:b/>
                <w:sz w:val="24"/>
                <w:szCs w:val="24"/>
                <w:lang w:eastAsia="it-IT"/>
              </w:rPr>
            </w:pPr>
            <w:r>
              <w:rPr>
                <w:rFonts w:eastAsia="Times New Roman"/>
                <w:b/>
                <w:sz w:val="24"/>
                <w:szCs w:val="24"/>
                <w:lang w:eastAsia="it-IT"/>
              </w:rPr>
              <w:t xml:space="preserve">€ </w:t>
            </w:r>
            <w:r w:rsidR="00EF403B" w:rsidRPr="004E329F">
              <w:rPr>
                <w:rFonts w:eastAsia="Times New Roman"/>
                <w:b/>
                <w:sz w:val="24"/>
                <w:szCs w:val="24"/>
                <w:lang w:eastAsia="it-IT"/>
              </w:rPr>
              <w:t>300,00</w:t>
            </w:r>
          </w:p>
        </w:tc>
      </w:tr>
      <w:tr w:rsidR="004E329F" w:rsidRPr="004E329F" w14:paraId="2F837D28" w14:textId="77777777">
        <w:trPr>
          <w:jc w:val="center"/>
        </w:trPr>
        <w:tc>
          <w:tcPr>
            <w:tcW w:w="9638"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B0B102" w14:textId="77777777" w:rsidR="004E329F" w:rsidRPr="004E329F" w:rsidRDefault="004E329F" w:rsidP="004E329F">
            <w:pPr>
              <w:autoSpaceDE w:val="0"/>
              <w:autoSpaceDN w:val="0"/>
              <w:adjustRightInd w:val="0"/>
              <w:spacing w:after="0" w:line="240" w:lineRule="auto"/>
              <w:ind w:left="67"/>
              <w:jc w:val="both"/>
              <w:rPr>
                <w:rFonts w:eastAsia="Times New Roman"/>
                <w:i/>
                <w:sz w:val="24"/>
                <w:szCs w:val="24"/>
                <w:lang w:eastAsia="it-IT"/>
              </w:rPr>
            </w:pPr>
            <w:r w:rsidRPr="004E329F">
              <w:rPr>
                <w:rFonts w:eastAsia="Times New Roman"/>
                <w:i/>
                <w:sz w:val="24"/>
                <w:szCs w:val="24"/>
                <w:lang w:eastAsia="it-IT"/>
              </w:rPr>
              <w:t>Note: i costi indicati sono IVA esenti per l’utente: le tariffe non sono assoggettate ad IVA ai sensi di quanto disposto dall’articolo 4, quarto comma, primo periodo, del D.P.R. 26 ottobre 1972, n. 633. In ogni caso, le tariffe comprendono l’eventuale onere tributario relativo all’IVA assolta dall’autorità competente sul corrispettivo da essa dovuto all’Organismo esterno per l’espletamento del servizio (Risoluzione del Ministero delle Finanze (RIS) n. 186 /E del 6 dicembre 2000).</w:t>
            </w:r>
          </w:p>
        </w:tc>
      </w:tr>
    </w:tbl>
    <w:p w14:paraId="626542CB" w14:textId="77777777" w:rsidR="008E07F3" w:rsidRPr="002B20F6" w:rsidRDefault="008E07F3" w:rsidP="002B20F6">
      <w:pPr>
        <w:keepNext/>
        <w:keepLines/>
        <w:autoSpaceDE w:val="0"/>
        <w:autoSpaceDN w:val="0"/>
        <w:adjustRightInd w:val="0"/>
        <w:spacing w:after="0" w:line="240" w:lineRule="auto"/>
        <w:ind w:right="425"/>
        <w:outlineLvl w:val="0"/>
        <w:rPr>
          <w:rFonts w:ascii="Times New Roman" w:eastAsia="Times New Roman" w:hAnsi="Times New Roman"/>
          <w:b/>
          <w:sz w:val="24"/>
          <w:szCs w:val="24"/>
          <w:lang w:eastAsia="it-IT"/>
        </w:rPr>
      </w:pPr>
    </w:p>
    <w:sectPr w:rsidR="008E07F3" w:rsidRPr="002B20F6" w:rsidSect="004E329F">
      <w:pgSz w:w="11902" w:h="16835"/>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257F7"/>
    <w:multiLevelType w:val="hybridMultilevel"/>
    <w:tmpl w:val="0F208832"/>
    <w:lvl w:ilvl="0" w:tplc="04100011">
      <w:start w:val="1"/>
      <w:numFmt w:val="decimal"/>
      <w:lvlText w:val="%1)"/>
      <w:lvlJc w:val="left"/>
      <w:pPr>
        <w:ind w:left="1287" w:hanging="360"/>
      </w:pPr>
    </w:lvl>
    <w:lvl w:ilvl="1" w:tplc="04100001">
      <w:start w:val="1"/>
      <w:numFmt w:val="bullet"/>
      <w:lvlText w:val=""/>
      <w:lvlJc w:val="left"/>
      <w:pPr>
        <w:ind w:left="2007" w:hanging="360"/>
      </w:pPr>
      <w:rPr>
        <w:rFonts w:ascii="Symbol" w:hAnsi="Symbol" w:hint="default"/>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 w15:restartNumberingAfterBreak="0">
    <w:nsid w:val="3D7445C6"/>
    <w:multiLevelType w:val="hybridMultilevel"/>
    <w:tmpl w:val="DAB4D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7"/>
    <w:rsid w:val="0013108C"/>
    <w:rsid w:val="00132164"/>
    <w:rsid w:val="001B3C45"/>
    <w:rsid w:val="00273695"/>
    <w:rsid w:val="002B20F6"/>
    <w:rsid w:val="002C03D2"/>
    <w:rsid w:val="002F3E85"/>
    <w:rsid w:val="00337A3D"/>
    <w:rsid w:val="0038409E"/>
    <w:rsid w:val="003E2F0A"/>
    <w:rsid w:val="0047514E"/>
    <w:rsid w:val="004E329F"/>
    <w:rsid w:val="00531D5E"/>
    <w:rsid w:val="005D2F28"/>
    <w:rsid w:val="00600AE2"/>
    <w:rsid w:val="00652A0E"/>
    <w:rsid w:val="006F146D"/>
    <w:rsid w:val="00704952"/>
    <w:rsid w:val="007B1884"/>
    <w:rsid w:val="007E007D"/>
    <w:rsid w:val="008503C1"/>
    <w:rsid w:val="00852CFC"/>
    <w:rsid w:val="00892F62"/>
    <w:rsid w:val="008E07F3"/>
    <w:rsid w:val="009331CA"/>
    <w:rsid w:val="00A04F6D"/>
    <w:rsid w:val="00A40177"/>
    <w:rsid w:val="00AF0088"/>
    <w:rsid w:val="00AF7F2F"/>
    <w:rsid w:val="00BD42DC"/>
    <w:rsid w:val="00C43465"/>
    <w:rsid w:val="00C522A7"/>
    <w:rsid w:val="00C6012D"/>
    <w:rsid w:val="00CA41A4"/>
    <w:rsid w:val="00D63778"/>
    <w:rsid w:val="00D63DA3"/>
    <w:rsid w:val="00DD45EC"/>
    <w:rsid w:val="00DF6F47"/>
    <w:rsid w:val="00E71C37"/>
    <w:rsid w:val="00E81428"/>
    <w:rsid w:val="00EB2CF5"/>
    <w:rsid w:val="00EF403B"/>
    <w:rsid w:val="00F319DD"/>
    <w:rsid w:val="00F36091"/>
    <w:rsid w:val="00F4611D"/>
    <w:rsid w:val="00F55B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DF63"/>
  <w15:chartTrackingRefBased/>
  <w15:docId w15:val="{072B4678-C69C-4CD8-B904-88DD4929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autoRedefine/>
    <w:uiPriority w:val="9"/>
    <w:qFormat/>
    <w:rsid w:val="00892F62"/>
    <w:pPr>
      <w:keepNext/>
      <w:keepLines/>
      <w:spacing w:after="0" w:line="240" w:lineRule="auto"/>
      <w:ind w:right="425"/>
      <w:jc w:val="right"/>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DF6F47"/>
    <w:pPr>
      <w:autoSpaceDE w:val="0"/>
      <w:autoSpaceDN w:val="0"/>
      <w:adjustRightInd w:val="0"/>
    </w:pPr>
    <w:rPr>
      <w:rFonts w:ascii="Times New Roman" w:hAnsi="Times New Roman"/>
      <w:color w:val="000000"/>
      <w:sz w:val="24"/>
      <w:szCs w:val="24"/>
    </w:rPr>
  </w:style>
  <w:style w:type="paragraph" w:styleId="Paragrafoelenco">
    <w:name w:val="List Paragraph"/>
    <w:basedOn w:val="Normale"/>
    <w:uiPriority w:val="34"/>
    <w:qFormat/>
    <w:rsid w:val="00AF0088"/>
    <w:pPr>
      <w:ind w:left="708"/>
    </w:pPr>
  </w:style>
  <w:style w:type="character" w:customStyle="1" w:styleId="Titolo1Carattere">
    <w:name w:val="Titolo 1 Carattere"/>
    <w:link w:val="Titolo1"/>
    <w:uiPriority w:val="9"/>
    <w:rsid w:val="00892F62"/>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D9F5-062D-4560-AD67-DDA3721B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295</Words>
  <Characters>1684</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piseddu</dc:creator>
  <cp:keywords/>
  <cp:lastModifiedBy>paola piseddu</cp:lastModifiedBy>
  <cp:revision>7</cp:revision>
  <dcterms:created xsi:type="dcterms:W3CDTF">2021-04-11T15:21:00Z</dcterms:created>
  <dcterms:modified xsi:type="dcterms:W3CDTF">2021-04-11T15:30:00Z</dcterms:modified>
</cp:coreProperties>
</file>